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AA11" w14:textId="74CA1A1B" w:rsidR="00392939" w:rsidRPr="0067584E" w:rsidRDefault="00392939" w:rsidP="00392939">
      <w:pPr>
        <w:jc w:val="center"/>
        <w:rPr>
          <w:rFonts w:cs="Arial"/>
          <w:b/>
          <w:bCs/>
          <w:sz w:val="22"/>
          <w:szCs w:val="22"/>
          <w:u w:val="single"/>
        </w:rPr>
      </w:pPr>
      <w:r w:rsidRPr="0067584E">
        <w:rPr>
          <w:rFonts w:cs="Arial"/>
          <w:b/>
          <w:bCs/>
          <w:sz w:val="22"/>
          <w:szCs w:val="22"/>
          <w:u w:val="single"/>
        </w:rPr>
        <w:t>Öffentliche B</w:t>
      </w:r>
      <w:r w:rsidR="00855318">
        <w:rPr>
          <w:rFonts w:cs="Arial"/>
          <w:b/>
          <w:bCs/>
          <w:sz w:val="22"/>
          <w:szCs w:val="22"/>
          <w:u w:val="single"/>
        </w:rPr>
        <w:t>ekanntmachung der Stadt Wetzlar</w:t>
      </w:r>
    </w:p>
    <w:p w14:paraId="3C0B3A00" w14:textId="47704700" w:rsidR="00AC6776" w:rsidRPr="005375A4" w:rsidRDefault="00392939" w:rsidP="00392939">
      <w:pPr>
        <w:jc w:val="center"/>
        <w:rPr>
          <w:sz w:val="22"/>
          <w:szCs w:val="22"/>
        </w:rPr>
      </w:pPr>
      <w:r w:rsidRPr="005375A4">
        <w:rPr>
          <w:rFonts w:cs="Arial"/>
          <w:b/>
          <w:bCs/>
          <w:sz w:val="22"/>
          <w:szCs w:val="22"/>
        </w:rPr>
        <w:t>(</w:t>
      </w:r>
      <w:r w:rsidR="005375A4">
        <w:rPr>
          <w:rFonts w:cs="Arial"/>
          <w:b/>
          <w:bCs/>
          <w:sz w:val="22"/>
          <w:szCs w:val="22"/>
        </w:rPr>
        <w:t xml:space="preserve">WNZ vom </w:t>
      </w:r>
      <w:bookmarkStart w:id="0" w:name="_GoBack"/>
      <w:bookmarkEnd w:id="0"/>
      <w:r w:rsidR="00FC4917" w:rsidRPr="005375A4">
        <w:rPr>
          <w:rFonts w:cs="Arial"/>
          <w:b/>
          <w:bCs/>
          <w:sz w:val="22"/>
          <w:szCs w:val="22"/>
        </w:rPr>
        <w:t>20</w:t>
      </w:r>
      <w:r w:rsidR="00F04390" w:rsidRPr="005375A4">
        <w:rPr>
          <w:rFonts w:cs="Arial"/>
          <w:b/>
          <w:bCs/>
          <w:sz w:val="22"/>
          <w:szCs w:val="22"/>
        </w:rPr>
        <w:t>.0</w:t>
      </w:r>
      <w:r w:rsidR="00FC4917" w:rsidRPr="005375A4">
        <w:rPr>
          <w:rFonts w:cs="Arial"/>
          <w:b/>
          <w:bCs/>
          <w:sz w:val="22"/>
          <w:szCs w:val="22"/>
        </w:rPr>
        <w:t>9</w:t>
      </w:r>
      <w:r w:rsidR="00A10C6A" w:rsidRPr="005375A4">
        <w:rPr>
          <w:rFonts w:cs="Arial"/>
          <w:b/>
          <w:bCs/>
          <w:sz w:val="22"/>
          <w:szCs w:val="22"/>
        </w:rPr>
        <w:t>.2019</w:t>
      </w:r>
      <w:r w:rsidRPr="005375A4">
        <w:rPr>
          <w:rFonts w:cs="Arial"/>
          <w:b/>
          <w:bCs/>
          <w:sz w:val="22"/>
          <w:szCs w:val="22"/>
        </w:rPr>
        <w:t>)</w:t>
      </w:r>
    </w:p>
    <w:p w14:paraId="15BCD417" w14:textId="77777777" w:rsidR="00AC6776" w:rsidRPr="0067584E" w:rsidRDefault="00AC6776">
      <w:pPr>
        <w:jc w:val="both"/>
        <w:rPr>
          <w:sz w:val="22"/>
          <w:szCs w:val="22"/>
        </w:rPr>
      </w:pPr>
    </w:p>
    <w:p w14:paraId="082131C7" w14:textId="08587506" w:rsidR="00AC6776" w:rsidRPr="0067584E" w:rsidRDefault="00AC6776">
      <w:pPr>
        <w:jc w:val="both"/>
        <w:rPr>
          <w:b/>
          <w:sz w:val="22"/>
          <w:szCs w:val="22"/>
        </w:rPr>
      </w:pPr>
      <w:r w:rsidRPr="0067584E">
        <w:rPr>
          <w:b/>
          <w:sz w:val="22"/>
          <w:szCs w:val="22"/>
        </w:rPr>
        <w:t xml:space="preserve">Bauleitplanung der </w:t>
      </w:r>
      <w:r w:rsidR="004F3E11" w:rsidRPr="0067584E">
        <w:rPr>
          <w:b/>
          <w:sz w:val="22"/>
          <w:szCs w:val="22"/>
        </w:rPr>
        <w:t>Stadt Wetzlar</w:t>
      </w:r>
      <w:r w:rsidR="007948C9">
        <w:rPr>
          <w:b/>
          <w:sz w:val="22"/>
          <w:szCs w:val="22"/>
        </w:rPr>
        <w:t>, Gemarkung Wetzlar</w:t>
      </w:r>
    </w:p>
    <w:p w14:paraId="3BD37E86" w14:textId="19890A70" w:rsidR="007948C9" w:rsidRDefault="007948C9" w:rsidP="00FE1948">
      <w:pPr>
        <w:ind w:left="567" w:hanging="567"/>
        <w:jc w:val="both"/>
        <w:rPr>
          <w:b/>
          <w:sz w:val="22"/>
          <w:szCs w:val="22"/>
        </w:rPr>
      </w:pPr>
      <w:r w:rsidRPr="007948C9">
        <w:rPr>
          <w:b/>
          <w:sz w:val="22"/>
          <w:szCs w:val="22"/>
        </w:rPr>
        <w:t>Bebauungsplan Nr. 219 „Nördlich der Bra</w:t>
      </w:r>
      <w:r w:rsidR="00FE1948">
        <w:rPr>
          <w:b/>
          <w:sz w:val="22"/>
          <w:szCs w:val="22"/>
        </w:rPr>
        <w:t xml:space="preserve">unfelser Straße / Eiserne Hand“, </w:t>
      </w:r>
      <w:r w:rsidRPr="007948C9">
        <w:rPr>
          <w:b/>
          <w:sz w:val="22"/>
          <w:szCs w:val="22"/>
        </w:rPr>
        <w:t>1. Änd</w:t>
      </w:r>
      <w:r>
        <w:rPr>
          <w:b/>
          <w:sz w:val="22"/>
          <w:szCs w:val="22"/>
        </w:rPr>
        <w:t>e</w:t>
      </w:r>
      <w:r w:rsidRPr="007948C9">
        <w:rPr>
          <w:b/>
          <w:sz w:val="22"/>
          <w:szCs w:val="22"/>
        </w:rPr>
        <w:t>rung</w:t>
      </w:r>
    </w:p>
    <w:p w14:paraId="3BA9AA54" w14:textId="77777777" w:rsidR="00AC6776" w:rsidRPr="0067584E" w:rsidRDefault="00715FD3" w:rsidP="00D13C25">
      <w:pPr>
        <w:ind w:left="567" w:hanging="567"/>
        <w:jc w:val="both"/>
        <w:rPr>
          <w:b/>
          <w:sz w:val="22"/>
          <w:szCs w:val="22"/>
        </w:rPr>
      </w:pPr>
      <w:r w:rsidRPr="0067584E">
        <w:rPr>
          <w:b/>
          <w:sz w:val="22"/>
          <w:szCs w:val="22"/>
        </w:rPr>
        <w:t xml:space="preserve">hier: </w:t>
      </w:r>
      <w:r w:rsidR="007F7E2E" w:rsidRPr="0067584E">
        <w:rPr>
          <w:b/>
          <w:sz w:val="22"/>
          <w:szCs w:val="22"/>
        </w:rPr>
        <w:t>Bekanntmachung</w:t>
      </w:r>
      <w:r w:rsidR="00D13C25">
        <w:rPr>
          <w:b/>
          <w:sz w:val="22"/>
          <w:szCs w:val="22"/>
        </w:rPr>
        <w:t xml:space="preserve"> des Aufstellungsbeschlusses </w:t>
      </w:r>
      <w:r w:rsidR="00D13C25" w:rsidRPr="00D13C25">
        <w:rPr>
          <w:b/>
          <w:sz w:val="22"/>
          <w:szCs w:val="22"/>
        </w:rPr>
        <w:t>gemäß § 2 Abs. 1 Baugeset</w:t>
      </w:r>
      <w:r w:rsidR="00D13C25" w:rsidRPr="00D13C25">
        <w:rPr>
          <w:b/>
          <w:sz w:val="22"/>
          <w:szCs w:val="22"/>
        </w:rPr>
        <w:t>z</w:t>
      </w:r>
      <w:r w:rsidR="00D13C25" w:rsidRPr="00D13C25">
        <w:rPr>
          <w:b/>
          <w:sz w:val="22"/>
          <w:szCs w:val="22"/>
        </w:rPr>
        <w:t>buch (BauGB)</w:t>
      </w:r>
      <w:r w:rsidR="00D13C25">
        <w:rPr>
          <w:b/>
          <w:sz w:val="22"/>
          <w:szCs w:val="22"/>
        </w:rPr>
        <w:t xml:space="preserve"> und der</w:t>
      </w:r>
      <w:r w:rsidR="007F7E2E" w:rsidRPr="0067584E">
        <w:rPr>
          <w:b/>
          <w:sz w:val="22"/>
          <w:szCs w:val="22"/>
        </w:rPr>
        <w:t xml:space="preserve"> </w:t>
      </w:r>
      <w:r w:rsidR="00AC6776" w:rsidRPr="0067584E">
        <w:rPr>
          <w:b/>
          <w:sz w:val="22"/>
          <w:szCs w:val="22"/>
        </w:rPr>
        <w:t xml:space="preserve">Beteiligung </w:t>
      </w:r>
      <w:r w:rsidR="00A5422B" w:rsidRPr="0067584E">
        <w:rPr>
          <w:b/>
          <w:sz w:val="22"/>
          <w:szCs w:val="22"/>
        </w:rPr>
        <w:t>der Öffentlichkeit</w:t>
      </w:r>
      <w:r w:rsidR="00AC6776" w:rsidRPr="0067584E">
        <w:rPr>
          <w:b/>
          <w:sz w:val="22"/>
          <w:szCs w:val="22"/>
        </w:rPr>
        <w:t xml:space="preserve"> an der Bauleitplanung </w:t>
      </w:r>
      <w:r w:rsidR="00AB1424">
        <w:rPr>
          <w:b/>
          <w:sz w:val="22"/>
          <w:szCs w:val="22"/>
        </w:rPr>
        <w:t>g</w:t>
      </w:r>
      <w:r w:rsidR="00AB1424">
        <w:rPr>
          <w:b/>
          <w:sz w:val="22"/>
          <w:szCs w:val="22"/>
        </w:rPr>
        <w:t>e</w:t>
      </w:r>
      <w:r w:rsidR="00AB1424">
        <w:rPr>
          <w:b/>
          <w:sz w:val="22"/>
          <w:szCs w:val="22"/>
        </w:rPr>
        <w:t>mäß</w:t>
      </w:r>
      <w:r w:rsidR="00C226DF" w:rsidRPr="0067584E">
        <w:rPr>
          <w:b/>
          <w:sz w:val="22"/>
          <w:szCs w:val="22"/>
        </w:rPr>
        <w:t xml:space="preserve"> </w:t>
      </w:r>
      <w:r w:rsidR="00E26E40" w:rsidRPr="00E26E40">
        <w:rPr>
          <w:b/>
          <w:bCs/>
          <w:sz w:val="22"/>
          <w:szCs w:val="22"/>
        </w:rPr>
        <w:t xml:space="preserve">§ 3 Abs. 2 BauGB i.V.m. § 13a Abs. 2 Nr. 1 und § 13 Abs. 2 Satz 1 Nr. 2 </w:t>
      </w:r>
      <w:r w:rsidR="00E26E40">
        <w:rPr>
          <w:b/>
          <w:bCs/>
          <w:sz w:val="22"/>
          <w:szCs w:val="22"/>
        </w:rPr>
        <w:t>Hal</w:t>
      </w:r>
      <w:r w:rsidR="00E26E40">
        <w:rPr>
          <w:b/>
          <w:bCs/>
          <w:sz w:val="22"/>
          <w:szCs w:val="22"/>
        </w:rPr>
        <w:t>b</w:t>
      </w:r>
      <w:r w:rsidR="00E26E40">
        <w:rPr>
          <w:b/>
          <w:bCs/>
          <w:sz w:val="22"/>
          <w:szCs w:val="22"/>
        </w:rPr>
        <w:t xml:space="preserve">satz 2 </w:t>
      </w:r>
      <w:r w:rsidR="00132FA6" w:rsidRPr="0067584E">
        <w:rPr>
          <w:b/>
          <w:sz w:val="22"/>
          <w:szCs w:val="22"/>
        </w:rPr>
        <w:t>BauGB</w:t>
      </w:r>
    </w:p>
    <w:p w14:paraId="76F83593" w14:textId="77777777" w:rsidR="005D0239" w:rsidRPr="0067584E" w:rsidRDefault="005D0239">
      <w:pPr>
        <w:tabs>
          <w:tab w:val="left" w:pos="2552"/>
          <w:tab w:val="left" w:pos="4820"/>
          <w:tab w:val="left" w:pos="6663"/>
          <w:tab w:val="left" w:pos="8364"/>
        </w:tabs>
        <w:jc w:val="both"/>
        <w:rPr>
          <w:sz w:val="22"/>
          <w:szCs w:val="22"/>
        </w:rPr>
      </w:pPr>
    </w:p>
    <w:p w14:paraId="2B2C392C" w14:textId="70BF87C0" w:rsidR="00D13C25" w:rsidRDefault="00D13C25" w:rsidP="000A17F6">
      <w:pPr>
        <w:tabs>
          <w:tab w:val="left" w:pos="2552"/>
          <w:tab w:val="left" w:pos="4820"/>
          <w:tab w:val="left" w:pos="6663"/>
          <w:tab w:val="left" w:pos="8364"/>
        </w:tabs>
        <w:jc w:val="both"/>
        <w:rPr>
          <w:sz w:val="22"/>
          <w:szCs w:val="22"/>
        </w:rPr>
      </w:pPr>
      <w:r w:rsidRPr="00526D38">
        <w:rPr>
          <w:sz w:val="22"/>
          <w:szCs w:val="22"/>
        </w:rPr>
        <w:t>Die Stadtverordnetenversammlung der Stadt Wetzlar hat in ihrer Sitzung am 2</w:t>
      </w:r>
      <w:r w:rsidR="005F5199" w:rsidRPr="00526D38">
        <w:rPr>
          <w:sz w:val="22"/>
          <w:szCs w:val="22"/>
        </w:rPr>
        <w:t>8</w:t>
      </w:r>
      <w:r w:rsidRPr="00526D38">
        <w:rPr>
          <w:sz w:val="22"/>
          <w:szCs w:val="22"/>
        </w:rPr>
        <w:t>.08.2019 die</w:t>
      </w:r>
      <w:r w:rsidRPr="00D13C25">
        <w:rPr>
          <w:sz w:val="22"/>
          <w:szCs w:val="22"/>
        </w:rPr>
        <w:t xml:space="preserve"> Aufstellung des o.g. Bebauungsplanes im beschleunigten Verfahren gemäß § 13a BauGB ohne Durchführung einer Umweltprüfung nach § 2 Abs. 4 BauGB beschlossen. Der Aufste</w:t>
      </w:r>
      <w:r w:rsidRPr="00D13C25">
        <w:rPr>
          <w:sz w:val="22"/>
          <w:szCs w:val="22"/>
        </w:rPr>
        <w:t>l</w:t>
      </w:r>
      <w:r w:rsidRPr="00D13C25">
        <w:rPr>
          <w:sz w:val="22"/>
          <w:szCs w:val="22"/>
        </w:rPr>
        <w:t>lungsbeschluss wird hiermit bekanntgemacht</w:t>
      </w:r>
      <w:r w:rsidR="001F49D9">
        <w:rPr>
          <w:sz w:val="22"/>
          <w:szCs w:val="22"/>
        </w:rPr>
        <w:t>.</w:t>
      </w:r>
      <w:r w:rsidR="002A6ECC" w:rsidRPr="002A6ECC">
        <w:rPr>
          <w:rFonts w:ascii="Times New Roman" w:hAnsi="Times New Roman" w:cs="Arial"/>
          <w:sz w:val="18"/>
          <w:szCs w:val="18"/>
        </w:rPr>
        <w:t xml:space="preserve"> </w:t>
      </w:r>
    </w:p>
    <w:p w14:paraId="5A9A0EB2" w14:textId="77777777" w:rsidR="00D13C25" w:rsidRDefault="00D13C25" w:rsidP="000A17F6">
      <w:pPr>
        <w:tabs>
          <w:tab w:val="left" w:pos="2552"/>
          <w:tab w:val="left" w:pos="4820"/>
          <w:tab w:val="left" w:pos="6663"/>
          <w:tab w:val="left" w:pos="8364"/>
        </w:tabs>
        <w:jc w:val="both"/>
        <w:rPr>
          <w:sz w:val="22"/>
          <w:szCs w:val="22"/>
        </w:rPr>
      </w:pPr>
    </w:p>
    <w:p w14:paraId="4770F46E" w14:textId="492F0E7E" w:rsidR="00502805" w:rsidRPr="0067584E" w:rsidRDefault="00D13C25" w:rsidP="00502805">
      <w:pPr>
        <w:jc w:val="both"/>
        <w:rPr>
          <w:sz w:val="22"/>
          <w:szCs w:val="22"/>
        </w:rPr>
      </w:pPr>
      <w:r w:rsidRPr="00D13C25">
        <w:rPr>
          <w:sz w:val="22"/>
          <w:szCs w:val="22"/>
        </w:rPr>
        <w:t>D</w:t>
      </w:r>
      <w:r>
        <w:rPr>
          <w:sz w:val="22"/>
          <w:szCs w:val="22"/>
        </w:rPr>
        <w:t xml:space="preserve">er Geltungsbereich der 1. Änderung </w:t>
      </w:r>
      <w:r w:rsidR="005F281B">
        <w:rPr>
          <w:sz w:val="22"/>
          <w:szCs w:val="22"/>
        </w:rPr>
        <w:t xml:space="preserve">des Bebauungsplanes </w:t>
      </w:r>
      <w:r w:rsidRPr="00D13C25">
        <w:rPr>
          <w:sz w:val="22"/>
          <w:szCs w:val="22"/>
        </w:rPr>
        <w:t xml:space="preserve">befindet sich nördlich der Braunfelser Straße </w:t>
      </w:r>
      <w:r>
        <w:rPr>
          <w:sz w:val="22"/>
          <w:szCs w:val="22"/>
        </w:rPr>
        <w:t>sowie</w:t>
      </w:r>
      <w:r w:rsidRPr="00D13C25">
        <w:rPr>
          <w:sz w:val="22"/>
          <w:szCs w:val="22"/>
        </w:rPr>
        <w:t xml:space="preserve"> südwestlich der Siegmund-Hiepe-Straße</w:t>
      </w:r>
      <w:r>
        <w:rPr>
          <w:sz w:val="22"/>
          <w:szCs w:val="22"/>
        </w:rPr>
        <w:t>. W</w:t>
      </w:r>
      <w:r w:rsidRPr="00D13C25">
        <w:rPr>
          <w:sz w:val="22"/>
          <w:szCs w:val="22"/>
        </w:rPr>
        <w:t>estlich schließen sich gewerbliche Nutzungen im Geltungsbereich des Bebauungsplanes Nr. 219 von 1967 sowie anschließend Wohnbebauung und gemischte Nutzungen an. Im Osten wird das Plangebiet durch die Siegmund-Hiepe-Straße begrenzt. Hieran schließen sich weiter östlich die best</w:t>
      </w:r>
      <w:r w:rsidRPr="00D13C25">
        <w:rPr>
          <w:sz w:val="22"/>
          <w:szCs w:val="22"/>
        </w:rPr>
        <w:t>e</w:t>
      </w:r>
      <w:r w:rsidRPr="00D13C25">
        <w:rPr>
          <w:sz w:val="22"/>
          <w:szCs w:val="22"/>
        </w:rPr>
        <w:t>hende Hochwasserschutzeinrichtung (Deich) und der Gewässerverlauf der Lahn an. Der räumliche Geltungsbereich der 1.</w:t>
      </w:r>
      <w:r w:rsidR="001F49D9">
        <w:rPr>
          <w:sz w:val="22"/>
          <w:szCs w:val="22"/>
        </w:rPr>
        <w:t> </w:t>
      </w:r>
      <w:r w:rsidRPr="00D13C25">
        <w:rPr>
          <w:sz w:val="22"/>
          <w:szCs w:val="22"/>
        </w:rPr>
        <w:t>Änderung des Bebauungsplanes umfasst in der Gema</w:t>
      </w:r>
      <w:r w:rsidRPr="00D13C25">
        <w:rPr>
          <w:sz w:val="22"/>
          <w:szCs w:val="22"/>
        </w:rPr>
        <w:t>r</w:t>
      </w:r>
      <w:r w:rsidRPr="00D13C25">
        <w:rPr>
          <w:sz w:val="22"/>
          <w:szCs w:val="22"/>
        </w:rPr>
        <w:t xml:space="preserve">kung Wetzlar, Flur 53, die Flurstücke 32, 33/1, 34/1. </w:t>
      </w:r>
      <w:r w:rsidR="00502805" w:rsidRPr="0067584E">
        <w:rPr>
          <w:sz w:val="22"/>
          <w:szCs w:val="22"/>
        </w:rPr>
        <w:t>D</w:t>
      </w:r>
      <w:r w:rsidR="008C7DB4">
        <w:rPr>
          <w:sz w:val="22"/>
          <w:szCs w:val="22"/>
        </w:rPr>
        <w:t>er</w:t>
      </w:r>
      <w:r w:rsidR="00502805" w:rsidRPr="0067584E">
        <w:rPr>
          <w:sz w:val="22"/>
          <w:szCs w:val="22"/>
        </w:rPr>
        <w:t xml:space="preserve"> nachfolgende </w:t>
      </w:r>
      <w:r w:rsidR="008C7DB4">
        <w:rPr>
          <w:sz w:val="22"/>
          <w:szCs w:val="22"/>
        </w:rPr>
        <w:t>Lageplan</w:t>
      </w:r>
      <w:r w:rsidR="00502805" w:rsidRPr="0067584E">
        <w:rPr>
          <w:sz w:val="22"/>
          <w:szCs w:val="22"/>
        </w:rPr>
        <w:t xml:space="preserve"> stellt den Geltungsbereich des aufzustellenden Bebauungsplanes dar.</w:t>
      </w:r>
    </w:p>
    <w:p w14:paraId="535E0124" w14:textId="77777777" w:rsidR="000A17F6" w:rsidRPr="0067584E" w:rsidRDefault="000A17F6" w:rsidP="00CA2185">
      <w:pPr>
        <w:tabs>
          <w:tab w:val="left" w:pos="2552"/>
          <w:tab w:val="left" w:pos="4820"/>
          <w:tab w:val="left" w:pos="6663"/>
          <w:tab w:val="left" w:pos="8364"/>
        </w:tabs>
        <w:jc w:val="center"/>
        <w:rPr>
          <w:sz w:val="22"/>
          <w:szCs w:val="22"/>
        </w:rPr>
      </w:pPr>
    </w:p>
    <w:p w14:paraId="585EB278" w14:textId="2D2BF8EB" w:rsidR="00AC6776" w:rsidRPr="002C4805" w:rsidRDefault="00E03FA7" w:rsidP="002C4805">
      <w:pPr>
        <w:jc w:val="right"/>
        <w:rPr>
          <w:rFonts w:cs="Arial"/>
          <w:sz w:val="18"/>
        </w:rPr>
      </w:pPr>
      <w:r w:rsidRPr="00E03FA7">
        <w:rPr>
          <w:noProof/>
          <w:bdr w:val="single" w:sz="4" w:space="0" w:color="auto"/>
        </w:rPr>
        <w:drawing>
          <wp:inline distT="0" distB="0" distL="0" distR="0" wp14:anchorId="0AF909BE" wp14:editId="5D614507">
            <wp:extent cx="5756109" cy="4410075"/>
            <wp:effectExtent l="19050" t="19050" r="1651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565" t="15895" r="23021" b="9865"/>
                    <a:stretch/>
                  </pic:blipFill>
                  <pic:spPr bwMode="auto">
                    <a:xfrm>
                      <a:off x="0" y="0"/>
                      <a:ext cx="5777338" cy="4426340"/>
                    </a:xfrm>
                    <a:prstGeom prst="rect">
                      <a:avLst/>
                    </a:prstGeom>
                    <a:ln w="9525" cap="sq" cmpd="sng" algn="ctr">
                      <a:solidFill>
                        <a:sysClr val="windowText" lastClr="00000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2C4805" w:rsidRPr="002C4805">
        <w:rPr>
          <w:rFonts w:cs="Arial"/>
          <w:sz w:val="16"/>
          <w:szCs w:val="16"/>
        </w:rPr>
        <w:t xml:space="preserve"> </w:t>
      </w:r>
      <w:r w:rsidR="002C4805" w:rsidRPr="00500E7F">
        <w:rPr>
          <w:rFonts w:cs="Arial"/>
          <w:sz w:val="16"/>
          <w:szCs w:val="16"/>
        </w:rPr>
        <w:t>genordet, ohne Maßstab</w:t>
      </w:r>
    </w:p>
    <w:p w14:paraId="43F1911E" w14:textId="77777777" w:rsidR="00F70C8E" w:rsidRDefault="00F70C8E">
      <w:pPr>
        <w:tabs>
          <w:tab w:val="left" w:pos="2552"/>
          <w:tab w:val="left" w:pos="4820"/>
          <w:tab w:val="left" w:pos="6663"/>
          <w:tab w:val="left" w:pos="8364"/>
        </w:tabs>
        <w:jc w:val="both"/>
        <w:rPr>
          <w:sz w:val="22"/>
          <w:szCs w:val="22"/>
        </w:rPr>
      </w:pPr>
    </w:p>
    <w:p w14:paraId="37736F06" w14:textId="1C338BEA" w:rsidR="00E03FA7" w:rsidRDefault="00E03FA7" w:rsidP="00E03FA7">
      <w:pPr>
        <w:tabs>
          <w:tab w:val="left" w:pos="2552"/>
          <w:tab w:val="left" w:pos="4820"/>
          <w:tab w:val="left" w:pos="6663"/>
          <w:tab w:val="left" w:pos="8364"/>
        </w:tabs>
        <w:jc w:val="both"/>
        <w:rPr>
          <w:sz w:val="22"/>
          <w:szCs w:val="22"/>
        </w:rPr>
      </w:pPr>
      <w:r w:rsidRPr="00231EF6">
        <w:rPr>
          <w:sz w:val="22"/>
          <w:szCs w:val="22"/>
        </w:rPr>
        <w:t xml:space="preserve">Mit der Aufstellung der 1. Änderung des Bebauungsplanes sollen im Bereich nördlich der Braunfelser Straße (Landesstraße L 3451) und südwestlich der Siegmund-Hiepe-Straße die </w:t>
      </w:r>
      <w:r w:rsidRPr="00231EF6">
        <w:rPr>
          <w:sz w:val="22"/>
          <w:szCs w:val="22"/>
        </w:rPr>
        <w:lastRenderedPageBreak/>
        <w:t>bauplanungsrechtlichen Voraussetzungen für den Neubau einer Lagerhalle, die zunächst übergangsweise von der Feuerwehr der Stadt Wetzlar genutzt werden soll, geschaffen we</w:t>
      </w:r>
      <w:r w:rsidRPr="00231EF6">
        <w:rPr>
          <w:sz w:val="22"/>
          <w:szCs w:val="22"/>
        </w:rPr>
        <w:t>r</w:t>
      </w:r>
      <w:r w:rsidRPr="00231EF6">
        <w:rPr>
          <w:sz w:val="22"/>
          <w:szCs w:val="22"/>
        </w:rPr>
        <w:t>den. Die bisherigen Festsetzungen</w:t>
      </w:r>
      <w:r>
        <w:rPr>
          <w:sz w:val="22"/>
          <w:szCs w:val="22"/>
        </w:rPr>
        <w:t xml:space="preserve"> des Bebauungsplanes von 1967</w:t>
      </w:r>
      <w:r w:rsidRPr="00231EF6">
        <w:rPr>
          <w:sz w:val="22"/>
          <w:szCs w:val="22"/>
        </w:rPr>
        <w:t xml:space="preserve"> </w:t>
      </w:r>
      <w:r>
        <w:rPr>
          <w:sz w:val="22"/>
          <w:szCs w:val="22"/>
        </w:rPr>
        <w:t xml:space="preserve">werden </w:t>
      </w:r>
      <w:r w:rsidRPr="00231EF6">
        <w:rPr>
          <w:sz w:val="22"/>
          <w:szCs w:val="22"/>
        </w:rPr>
        <w:t>an den Bestand und die Planung sowie an die aktuellen städtebaulichen Rahmenbedingungen und Anford</w:t>
      </w:r>
      <w:r w:rsidRPr="00231EF6">
        <w:rPr>
          <w:sz w:val="22"/>
          <w:szCs w:val="22"/>
        </w:rPr>
        <w:t>e</w:t>
      </w:r>
      <w:r w:rsidRPr="00231EF6">
        <w:rPr>
          <w:sz w:val="22"/>
          <w:szCs w:val="22"/>
        </w:rPr>
        <w:t>rungen angepasst. Die bestehende Bebauung entlang der B</w:t>
      </w:r>
      <w:r>
        <w:rPr>
          <w:sz w:val="22"/>
          <w:szCs w:val="22"/>
        </w:rPr>
        <w:t>raunfelser Straße</w:t>
      </w:r>
      <w:r w:rsidRPr="00231EF6">
        <w:rPr>
          <w:sz w:val="22"/>
          <w:szCs w:val="22"/>
        </w:rPr>
        <w:t xml:space="preserve"> wird baupl</w:t>
      </w:r>
      <w:r w:rsidRPr="00231EF6">
        <w:rPr>
          <w:sz w:val="22"/>
          <w:szCs w:val="22"/>
        </w:rPr>
        <w:t>a</w:t>
      </w:r>
      <w:r w:rsidRPr="00231EF6">
        <w:rPr>
          <w:sz w:val="22"/>
          <w:szCs w:val="22"/>
        </w:rPr>
        <w:t>nungsrechtlich gesichert.</w:t>
      </w:r>
      <w:r>
        <w:rPr>
          <w:sz w:val="22"/>
          <w:szCs w:val="22"/>
        </w:rPr>
        <w:t xml:space="preserve"> </w:t>
      </w:r>
      <w:r w:rsidRPr="00B87613">
        <w:rPr>
          <w:sz w:val="22"/>
          <w:szCs w:val="22"/>
        </w:rPr>
        <w:t>Das Planziel des Bebauungsplanes ist entgegen den bisherigen Festsetzungen des rechtswirksamen Bebauungsplanes von 1967 die Ausweisung eines ei</w:t>
      </w:r>
      <w:r w:rsidRPr="00B87613">
        <w:rPr>
          <w:sz w:val="22"/>
          <w:szCs w:val="22"/>
        </w:rPr>
        <w:t>n</w:t>
      </w:r>
      <w:r w:rsidRPr="00B87613">
        <w:rPr>
          <w:sz w:val="22"/>
          <w:szCs w:val="22"/>
        </w:rPr>
        <w:t>geschränkten Gewerbegebietes gemäß § 8 BauNVO, innerhalb dessen wesentlich störende Gewerbebetrie</w:t>
      </w:r>
      <w:r w:rsidR="00D61F28">
        <w:rPr>
          <w:sz w:val="22"/>
          <w:szCs w:val="22"/>
        </w:rPr>
        <w:t>be und Anlagen unzulässig sind.</w:t>
      </w:r>
    </w:p>
    <w:p w14:paraId="62771BC9" w14:textId="77777777" w:rsidR="00E03FA7" w:rsidRDefault="00E03FA7" w:rsidP="00E03FA7">
      <w:pPr>
        <w:jc w:val="both"/>
        <w:rPr>
          <w:sz w:val="22"/>
          <w:szCs w:val="22"/>
        </w:rPr>
      </w:pPr>
    </w:p>
    <w:p w14:paraId="2558F87A" w14:textId="4EC9E9AB" w:rsidR="002C6C78" w:rsidRDefault="002C6C78" w:rsidP="004823A2">
      <w:pPr>
        <w:jc w:val="both"/>
        <w:rPr>
          <w:sz w:val="22"/>
          <w:szCs w:val="22"/>
        </w:rPr>
      </w:pPr>
      <w:r w:rsidRPr="0068379D">
        <w:rPr>
          <w:sz w:val="22"/>
          <w:szCs w:val="22"/>
        </w:rPr>
        <w:t xml:space="preserve">Der Entwurf des </w:t>
      </w:r>
      <w:r w:rsidR="00F16805">
        <w:rPr>
          <w:sz w:val="22"/>
          <w:szCs w:val="22"/>
        </w:rPr>
        <w:t>Bebauungsplanes sowie die Begründung zum Bebauungsplan einschlie</w:t>
      </w:r>
      <w:r w:rsidR="00F16805">
        <w:rPr>
          <w:sz w:val="22"/>
          <w:szCs w:val="22"/>
        </w:rPr>
        <w:t>ß</w:t>
      </w:r>
      <w:r w:rsidR="00F16805">
        <w:rPr>
          <w:sz w:val="22"/>
          <w:szCs w:val="22"/>
        </w:rPr>
        <w:t>lich eines Landschaftspflegerischen Fachbeitrages</w:t>
      </w:r>
      <w:r w:rsidR="002C4805">
        <w:rPr>
          <w:sz w:val="22"/>
          <w:szCs w:val="22"/>
        </w:rPr>
        <w:t xml:space="preserve"> </w:t>
      </w:r>
      <w:r w:rsidR="001F49D9">
        <w:rPr>
          <w:sz w:val="22"/>
          <w:szCs w:val="22"/>
        </w:rPr>
        <w:t>sowie</w:t>
      </w:r>
      <w:r w:rsidR="002C4805">
        <w:rPr>
          <w:sz w:val="22"/>
          <w:szCs w:val="22"/>
        </w:rPr>
        <w:t xml:space="preserve"> </w:t>
      </w:r>
      <w:r w:rsidR="00F16805">
        <w:rPr>
          <w:sz w:val="22"/>
          <w:szCs w:val="22"/>
        </w:rPr>
        <w:t>eines</w:t>
      </w:r>
      <w:r w:rsidR="00231EF6">
        <w:rPr>
          <w:sz w:val="22"/>
          <w:szCs w:val="22"/>
        </w:rPr>
        <w:t xml:space="preserve"> Artenschutzfachlichen</w:t>
      </w:r>
      <w:r w:rsidR="00F16805">
        <w:rPr>
          <w:sz w:val="22"/>
          <w:szCs w:val="22"/>
        </w:rPr>
        <w:t xml:space="preserve"> Fac</w:t>
      </w:r>
      <w:r w:rsidR="00F16805">
        <w:rPr>
          <w:sz w:val="22"/>
          <w:szCs w:val="22"/>
        </w:rPr>
        <w:t>h</w:t>
      </w:r>
      <w:r w:rsidR="00F16805">
        <w:rPr>
          <w:sz w:val="22"/>
          <w:szCs w:val="22"/>
        </w:rPr>
        <w:t>beitrages</w:t>
      </w:r>
      <w:r w:rsidRPr="0068379D">
        <w:rPr>
          <w:sz w:val="22"/>
          <w:szCs w:val="22"/>
        </w:rPr>
        <w:t xml:space="preserve"> liegen in </w:t>
      </w:r>
      <w:r w:rsidRPr="00FE65CE">
        <w:rPr>
          <w:sz w:val="22"/>
          <w:szCs w:val="22"/>
        </w:rPr>
        <w:t>de</w:t>
      </w:r>
      <w:r w:rsidRPr="00DE6B5F">
        <w:rPr>
          <w:sz w:val="22"/>
          <w:szCs w:val="22"/>
        </w:rPr>
        <w:t>r Zeit von</w:t>
      </w:r>
      <w:r w:rsidRPr="00DE6B5F">
        <w:rPr>
          <w:b/>
          <w:sz w:val="22"/>
          <w:szCs w:val="22"/>
        </w:rPr>
        <w:t xml:space="preserve"> </w:t>
      </w:r>
      <w:r w:rsidR="00F16805" w:rsidRPr="00DE6B5F">
        <w:rPr>
          <w:b/>
          <w:sz w:val="22"/>
          <w:szCs w:val="22"/>
        </w:rPr>
        <w:t xml:space="preserve">Montag, </w:t>
      </w:r>
      <w:r w:rsidR="00A44DF7">
        <w:rPr>
          <w:b/>
          <w:sz w:val="22"/>
          <w:szCs w:val="22"/>
        </w:rPr>
        <w:t>30</w:t>
      </w:r>
      <w:r w:rsidR="00F04390" w:rsidRPr="00DE6B5F">
        <w:rPr>
          <w:b/>
          <w:sz w:val="22"/>
          <w:szCs w:val="22"/>
        </w:rPr>
        <w:t>.0</w:t>
      </w:r>
      <w:r w:rsidR="00DE6B5F" w:rsidRPr="00DE6B5F">
        <w:rPr>
          <w:b/>
          <w:sz w:val="22"/>
          <w:szCs w:val="22"/>
        </w:rPr>
        <w:t>9</w:t>
      </w:r>
      <w:r w:rsidR="00F16805" w:rsidRPr="00DE6B5F">
        <w:rPr>
          <w:b/>
          <w:sz w:val="22"/>
          <w:szCs w:val="22"/>
        </w:rPr>
        <w:t xml:space="preserve">.2019 bis einschließlich Freitag, </w:t>
      </w:r>
      <w:r w:rsidR="00A44DF7">
        <w:rPr>
          <w:b/>
          <w:sz w:val="22"/>
          <w:szCs w:val="22"/>
        </w:rPr>
        <w:t>01</w:t>
      </w:r>
      <w:r w:rsidR="00F16805" w:rsidRPr="00DE6B5F">
        <w:rPr>
          <w:b/>
          <w:sz w:val="22"/>
          <w:szCs w:val="22"/>
        </w:rPr>
        <w:t>.</w:t>
      </w:r>
      <w:r w:rsidR="00A44DF7">
        <w:rPr>
          <w:b/>
          <w:sz w:val="22"/>
          <w:szCs w:val="22"/>
        </w:rPr>
        <w:t>11</w:t>
      </w:r>
      <w:r w:rsidR="00F16805" w:rsidRPr="00DE6B5F">
        <w:rPr>
          <w:b/>
          <w:sz w:val="22"/>
          <w:szCs w:val="22"/>
        </w:rPr>
        <w:t>.2019</w:t>
      </w:r>
      <w:r w:rsidRPr="00FE65CE">
        <w:rPr>
          <w:b/>
          <w:sz w:val="22"/>
          <w:szCs w:val="22"/>
        </w:rPr>
        <w:t xml:space="preserve"> </w:t>
      </w:r>
      <w:r w:rsidRPr="00FE65CE">
        <w:rPr>
          <w:sz w:val="22"/>
          <w:szCs w:val="22"/>
        </w:rPr>
        <w:t>während der</w:t>
      </w:r>
      <w:r w:rsidRPr="0068379D">
        <w:rPr>
          <w:sz w:val="22"/>
          <w:szCs w:val="22"/>
        </w:rPr>
        <w:t xml:space="preserve"> Dienststunden der Verwaltung montags, dienstags, donnerstags und freitags von 07:30 Uhr bis 18:00 Uhr und mittwochs von 07:30 Uhr bis 12:30 Uhr im Stadtbüro des Neuen Rathauses, Ernst-Leitz-Straße 30, zu jedermanns Einsicht öffentlich aus. In Ausna</w:t>
      </w:r>
      <w:r w:rsidRPr="0068379D">
        <w:rPr>
          <w:sz w:val="22"/>
          <w:szCs w:val="22"/>
        </w:rPr>
        <w:t>h</w:t>
      </w:r>
      <w:r w:rsidRPr="0068379D">
        <w:rPr>
          <w:sz w:val="22"/>
          <w:szCs w:val="22"/>
        </w:rPr>
        <w:t>mefällen sind auch andere Termine nach vorheriger Vereinbarung möglich. Während dieser Zeit können von jedermann Anregungen zu der Planung schriftlich oder zur Niederschrift vorgebracht werden.</w:t>
      </w:r>
      <w:r w:rsidR="008A347D">
        <w:rPr>
          <w:sz w:val="22"/>
          <w:szCs w:val="22"/>
        </w:rPr>
        <w:t xml:space="preserve"> </w:t>
      </w:r>
      <w:r w:rsidR="008A347D" w:rsidRPr="0068379D">
        <w:rPr>
          <w:sz w:val="22"/>
          <w:szCs w:val="22"/>
        </w:rPr>
        <w:t>Des Weiteren können der Inhalt dieser Bekanntmachung sowie die vo</w:t>
      </w:r>
      <w:r w:rsidR="008A347D" w:rsidRPr="0068379D">
        <w:rPr>
          <w:sz w:val="22"/>
          <w:szCs w:val="22"/>
        </w:rPr>
        <w:t>r</w:t>
      </w:r>
      <w:r w:rsidR="008A347D" w:rsidRPr="0068379D">
        <w:rPr>
          <w:sz w:val="22"/>
          <w:szCs w:val="22"/>
        </w:rPr>
        <w:t xml:space="preserve">genannten Unterlagen im Internet unter </w:t>
      </w:r>
      <w:r w:rsidR="008A347D" w:rsidRPr="0068379D">
        <w:rPr>
          <w:i/>
          <w:sz w:val="22"/>
          <w:szCs w:val="22"/>
        </w:rPr>
        <w:t>www.wetzlar.de/bauleitplanung</w:t>
      </w:r>
      <w:r w:rsidR="008A347D" w:rsidRPr="0068379D">
        <w:rPr>
          <w:sz w:val="22"/>
          <w:szCs w:val="22"/>
        </w:rPr>
        <w:t xml:space="preserve"> eingesehen werden. Auskünfte zur Planung erteilt das Amt für Stadtentwicklung; um Terminvereinbarung wird gebeten.</w:t>
      </w:r>
    </w:p>
    <w:p w14:paraId="61412C39" w14:textId="77777777" w:rsidR="002C6C78" w:rsidRDefault="002C6C78" w:rsidP="004823A2">
      <w:pPr>
        <w:jc w:val="both"/>
        <w:rPr>
          <w:sz w:val="22"/>
          <w:szCs w:val="22"/>
        </w:rPr>
      </w:pPr>
    </w:p>
    <w:p w14:paraId="1C4A60A0" w14:textId="77777777" w:rsidR="004823A2" w:rsidRPr="0067584E" w:rsidRDefault="004823A2" w:rsidP="004823A2">
      <w:pPr>
        <w:jc w:val="both"/>
        <w:rPr>
          <w:sz w:val="22"/>
          <w:szCs w:val="22"/>
        </w:rPr>
      </w:pPr>
      <w:r w:rsidRPr="0067584E">
        <w:rPr>
          <w:sz w:val="22"/>
          <w:szCs w:val="22"/>
        </w:rPr>
        <w:t>Es wird darauf hingewie</w:t>
      </w:r>
      <w:r w:rsidR="003029BD" w:rsidRPr="0067584E">
        <w:rPr>
          <w:sz w:val="22"/>
          <w:szCs w:val="22"/>
        </w:rPr>
        <w:t>sen, dass d</w:t>
      </w:r>
      <w:r w:rsidRPr="0067584E">
        <w:rPr>
          <w:sz w:val="22"/>
          <w:szCs w:val="22"/>
        </w:rPr>
        <w:t>e</w:t>
      </w:r>
      <w:r w:rsidR="003029BD" w:rsidRPr="0067584E">
        <w:rPr>
          <w:sz w:val="22"/>
          <w:szCs w:val="22"/>
        </w:rPr>
        <w:t>r</w:t>
      </w:r>
      <w:r w:rsidRPr="0067584E">
        <w:rPr>
          <w:sz w:val="22"/>
          <w:szCs w:val="22"/>
        </w:rPr>
        <w:t xml:space="preserve"> Bebauungsplan im beschleunigten Verfahren ohne Durchführung einer Umweltprüfung nach § 2 Abs. 4 BauGB aufgestellt wird. </w:t>
      </w:r>
      <w:r w:rsidR="00802BAA" w:rsidRPr="0067584E">
        <w:rPr>
          <w:sz w:val="22"/>
          <w:szCs w:val="22"/>
        </w:rPr>
        <w:t>Auf die Erste</w:t>
      </w:r>
      <w:r w:rsidR="00802BAA" w:rsidRPr="0067584E">
        <w:rPr>
          <w:sz w:val="22"/>
          <w:szCs w:val="22"/>
        </w:rPr>
        <w:t>l</w:t>
      </w:r>
      <w:r w:rsidR="00802BAA" w:rsidRPr="0067584E">
        <w:rPr>
          <w:sz w:val="22"/>
          <w:szCs w:val="22"/>
        </w:rPr>
        <w:t>lung eines Umweltberichtes nach § 2a</w:t>
      </w:r>
      <w:r w:rsidR="00132FA6" w:rsidRPr="0067584E">
        <w:rPr>
          <w:sz w:val="22"/>
          <w:szCs w:val="22"/>
        </w:rPr>
        <w:t xml:space="preserve"> BauGB</w:t>
      </w:r>
      <w:r w:rsidR="00860AAE" w:rsidRPr="0067584E">
        <w:rPr>
          <w:sz w:val="22"/>
          <w:szCs w:val="22"/>
        </w:rPr>
        <w:t>,</w:t>
      </w:r>
      <w:r w:rsidR="00802BAA" w:rsidRPr="0067584E">
        <w:rPr>
          <w:sz w:val="22"/>
          <w:szCs w:val="22"/>
        </w:rPr>
        <w:t xml:space="preserve"> von der Angabe nach §</w:t>
      </w:r>
      <w:r w:rsidR="00132FA6" w:rsidRPr="0067584E">
        <w:rPr>
          <w:sz w:val="22"/>
          <w:szCs w:val="22"/>
        </w:rPr>
        <w:t> </w:t>
      </w:r>
      <w:r w:rsidR="00802BAA" w:rsidRPr="0067584E">
        <w:rPr>
          <w:sz w:val="22"/>
          <w:szCs w:val="22"/>
        </w:rPr>
        <w:t xml:space="preserve">3 Abs. 2 </w:t>
      </w:r>
      <w:r w:rsidR="007D7567" w:rsidRPr="0067584E">
        <w:rPr>
          <w:sz w:val="22"/>
          <w:szCs w:val="22"/>
        </w:rPr>
        <w:t>Satz</w:t>
      </w:r>
      <w:r w:rsidR="00802BAA" w:rsidRPr="0067584E">
        <w:rPr>
          <w:sz w:val="22"/>
          <w:szCs w:val="22"/>
        </w:rPr>
        <w:t xml:space="preserve"> 2</w:t>
      </w:r>
      <w:r w:rsidR="00132FA6" w:rsidRPr="0067584E">
        <w:rPr>
          <w:sz w:val="22"/>
          <w:szCs w:val="22"/>
        </w:rPr>
        <w:t xml:space="preserve"> BauGB</w:t>
      </w:r>
      <w:r w:rsidR="00802BAA" w:rsidRPr="0067584E">
        <w:rPr>
          <w:sz w:val="22"/>
          <w:szCs w:val="22"/>
        </w:rPr>
        <w:t>, welche Arten umweltbezogener Informationen verfügbar sind sowie von der Erste</w:t>
      </w:r>
      <w:r w:rsidR="00802BAA" w:rsidRPr="0067584E">
        <w:rPr>
          <w:sz w:val="22"/>
          <w:szCs w:val="22"/>
        </w:rPr>
        <w:t>l</w:t>
      </w:r>
      <w:r w:rsidR="00802BAA" w:rsidRPr="0067584E">
        <w:rPr>
          <w:sz w:val="22"/>
          <w:szCs w:val="22"/>
        </w:rPr>
        <w:t>lung einer zusammenfassenden Erklärung gemäß § 10</w:t>
      </w:r>
      <w:r w:rsidR="00E26597">
        <w:rPr>
          <w:sz w:val="22"/>
          <w:szCs w:val="22"/>
        </w:rPr>
        <w:t>a Abs. 1</w:t>
      </w:r>
      <w:r w:rsidR="00802BAA" w:rsidRPr="0067584E">
        <w:rPr>
          <w:sz w:val="22"/>
          <w:szCs w:val="22"/>
        </w:rPr>
        <w:t xml:space="preserve"> BauGB wird abgesehen. </w:t>
      </w:r>
      <w:r w:rsidRPr="0067584E">
        <w:rPr>
          <w:sz w:val="22"/>
          <w:szCs w:val="22"/>
        </w:rPr>
        <w:t xml:space="preserve">Des Weiteren wird darauf hingewiesen, dass nicht fristgerecht abgegebene Stellungnahmen bei der Beschlussfassung über </w:t>
      </w:r>
      <w:r w:rsidR="00E26597">
        <w:rPr>
          <w:sz w:val="22"/>
          <w:szCs w:val="22"/>
        </w:rPr>
        <w:t>den Bebauungsplan</w:t>
      </w:r>
      <w:r w:rsidR="00101B60">
        <w:rPr>
          <w:sz w:val="22"/>
          <w:szCs w:val="22"/>
        </w:rPr>
        <w:t xml:space="preserve"> gemäß</w:t>
      </w:r>
      <w:r w:rsidRPr="0067584E">
        <w:rPr>
          <w:sz w:val="22"/>
          <w:szCs w:val="22"/>
        </w:rPr>
        <w:t xml:space="preserve"> § 4a Abs. 6 BauGB u</w:t>
      </w:r>
      <w:r w:rsidR="00DE620C" w:rsidRPr="0067584E">
        <w:rPr>
          <w:sz w:val="22"/>
          <w:szCs w:val="22"/>
        </w:rPr>
        <w:t>nberücksichtigt bleiben können.</w:t>
      </w:r>
    </w:p>
    <w:p w14:paraId="6C698C66" w14:textId="77777777" w:rsidR="001F5B10" w:rsidRPr="0067584E" w:rsidRDefault="001F5B10" w:rsidP="004823A2">
      <w:pPr>
        <w:jc w:val="both"/>
        <w:rPr>
          <w:sz w:val="22"/>
          <w:szCs w:val="22"/>
        </w:rPr>
      </w:pPr>
    </w:p>
    <w:p w14:paraId="283C20B0" w14:textId="77777777" w:rsidR="002A27E5" w:rsidRPr="0067584E" w:rsidRDefault="004823A2" w:rsidP="002A27E5">
      <w:pPr>
        <w:jc w:val="both"/>
        <w:rPr>
          <w:rFonts w:cs="Arial"/>
          <w:sz w:val="22"/>
          <w:szCs w:val="22"/>
        </w:rPr>
      </w:pPr>
      <w:r w:rsidRPr="0067584E">
        <w:rPr>
          <w:sz w:val="22"/>
          <w:szCs w:val="22"/>
        </w:rPr>
        <w:t>D</w:t>
      </w:r>
      <w:r w:rsidR="002A27E5" w:rsidRPr="0067584E">
        <w:rPr>
          <w:sz w:val="22"/>
          <w:szCs w:val="22"/>
        </w:rPr>
        <w:t>ie zum Bauleitplanverfahren abgegebenen Stellungnahmen</w:t>
      </w:r>
      <w:r w:rsidRPr="0067584E">
        <w:rPr>
          <w:sz w:val="22"/>
          <w:szCs w:val="22"/>
        </w:rPr>
        <w:t xml:space="preserve"> werden</w:t>
      </w:r>
      <w:r w:rsidR="002A27E5" w:rsidRPr="0067584E">
        <w:rPr>
          <w:sz w:val="22"/>
          <w:szCs w:val="22"/>
        </w:rPr>
        <w:t xml:space="preserve"> in öffentlicher Sitzung beraten und somit personenbezoge</w:t>
      </w:r>
      <w:r w:rsidR="006A1AF9" w:rsidRPr="0067584E">
        <w:rPr>
          <w:sz w:val="22"/>
          <w:szCs w:val="22"/>
        </w:rPr>
        <w:t xml:space="preserve">ne </w:t>
      </w:r>
      <w:r w:rsidR="002A27E5" w:rsidRPr="0067584E">
        <w:rPr>
          <w:sz w:val="22"/>
          <w:szCs w:val="22"/>
        </w:rPr>
        <w:t>Daten, soweit sie für das Bauleitplanverfahren erfo</w:t>
      </w:r>
      <w:r w:rsidR="002A27E5" w:rsidRPr="0067584E">
        <w:rPr>
          <w:sz w:val="22"/>
          <w:szCs w:val="22"/>
        </w:rPr>
        <w:t>r</w:t>
      </w:r>
      <w:r w:rsidR="002A27E5" w:rsidRPr="0067584E">
        <w:rPr>
          <w:sz w:val="22"/>
          <w:szCs w:val="22"/>
        </w:rPr>
        <w:t>derlich sind, der Stadtverordnetenversammlung und mit</w:t>
      </w:r>
      <w:r w:rsidR="00132FA6" w:rsidRPr="0067584E">
        <w:rPr>
          <w:sz w:val="22"/>
          <w:szCs w:val="22"/>
        </w:rPr>
        <w:t>hin</w:t>
      </w:r>
      <w:r w:rsidR="002A27E5" w:rsidRPr="0067584E">
        <w:rPr>
          <w:sz w:val="22"/>
          <w:szCs w:val="22"/>
        </w:rPr>
        <w:t xml:space="preserve"> der Öffent</w:t>
      </w:r>
      <w:r w:rsidRPr="0067584E">
        <w:rPr>
          <w:sz w:val="22"/>
          <w:szCs w:val="22"/>
        </w:rPr>
        <w:t xml:space="preserve">lichkeit </w:t>
      </w:r>
      <w:r w:rsidR="00993F9C" w:rsidRPr="0067584E">
        <w:rPr>
          <w:sz w:val="22"/>
          <w:szCs w:val="22"/>
        </w:rPr>
        <w:t xml:space="preserve">u. a. im Internet </w:t>
      </w:r>
      <w:r w:rsidRPr="0067584E">
        <w:rPr>
          <w:sz w:val="22"/>
          <w:szCs w:val="22"/>
        </w:rPr>
        <w:t>zur Verfügung gestellt</w:t>
      </w:r>
      <w:r w:rsidR="002A27E5" w:rsidRPr="0067584E">
        <w:rPr>
          <w:sz w:val="22"/>
          <w:szCs w:val="22"/>
        </w:rPr>
        <w:t xml:space="preserve">. </w:t>
      </w:r>
      <w:r w:rsidR="002A27E5" w:rsidRPr="0067584E">
        <w:rPr>
          <w:rFonts w:cs="Arial"/>
          <w:sz w:val="22"/>
          <w:szCs w:val="22"/>
        </w:rPr>
        <w:t>Die einschlägigen personenbezogenen Daten werden gesondert ve</w:t>
      </w:r>
      <w:r w:rsidR="002A27E5" w:rsidRPr="0067584E">
        <w:rPr>
          <w:rFonts w:cs="Arial"/>
          <w:sz w:val="22"/>
          <w:szCs w:val="22"/>
        </w:rPr>
        <w:t>r</w:t>
      </w:r>
      <w:r w:rsidR="002A27E5" w:rsidRPr="0067584E">
        <w:rPr>
          <w:rFonts w:cs="Arial"/>
          <w:sz w:val="22"/>
          <w:szCs w:val="22"/>
        </w:rPr>
        <w:t>arbeitet. Die Verarbeitung erfolgt von der übrigen Verwaltung der Stadt Wetzlar personell und organisatorisch getrennt. Es erfolgt keine Nutzung dieser personenbezogenen Daten durch eine andere Stelle für andere Verwaltungszwecke oder eine Übermittlung an eine a</w:t>
      </w:r>
      <w:r w:rsidR="002A27E5" w:rsidRPr="0067584E">
        <w:rPr>
          <w:rFonts w:cs="Arial"/>
          <w:sz w:val="22"/>
          <w:szCs w:val="22"/>
        </w:rPr>
        <w:t>n</w:t>
      </w:r>
      <w:r w:rsidR="002A27E5" w:rsidRPr="0067584E">
        <w:rPr>
          <w:rFonts w:cs="Arial"/>
          <w:sz w:val="22"/>
          <w:szCs w:val="22"/>
        </w:rPr>
        <w:t xml:space="preserve">dere Stelle. </w:t>
      </w:r>
    </w:p>
    <w:p w14:paraId="25BECEB0" w14:textId="77777777" w:rsidR="00AC6776" w:rsidRPr="0067584E" w:rsidRDefault="00AC6776">
      <w:pPr>
        <w:tabs>
          <w:tab w:val="left" w:pos="2552"/>
          <w:tab w:val="left" w:pos="4820"/>
          <w:tab w:val="left" w:pos="6663"/>
          <w:tab w:val="left" w:pos="8364"/>
        </w:tabs>
        <w:jc w:val="both"/>
        <w:rPr>
          <w:sz w:val="22"/>
          <w:szCs w:val="22"/>
        </w:rPr>
      </w:pPr>
    </w:p>
    <w:p w14:paraId="240C0C1B" w14:textId="0E82D43B" w:rsidR="00AC6776" w:rsidRPr="0067584E" w:rsidRDefault="00885799">
      <w:pPr>
        <w:tabs>
          <w:tab w:val="left" w:pos="2552"/>
          <w:tab w:val="left" w:pos="4820"/>
          <w:tab w:val="left" w:pos="6663"/>
          <w:tab w:val="left" w:pos="8364"/>
        </w:tabs>
        <w:jc w:val="both"/>
        <w:rPr>
          <w:sz w:val="22"/>
          <w:szCs w:val="22"/>
        </w:rPr>
      </w:pPr>
      <w:r w:rsidRPr="0067584E">
        <w:rPr>
          <w:sz w:val="22"/>
          <w:szCs w:val="22"/>
        </w:rPr>
        <w:t>Wetzlar</w:t>
      </w:r>
      <w:r w:rsidR="00AC6776" w:rsidRPr="0067584E">
        <w:rPr>
          <w:sz w:val="22"/>
          <w:szCs w:val="22"/>
        </w:rPr>
        <w:t xml:space="preserve">, </w:t>
      </w:r>
      <w:bookmarkStart w:id="1" w:name="Text23"/>
      <w:r w:rsidR="007D7567" w:rsidRPr="0067584E">
        <w:rPr>
          <w:sz w:val="22"/>
          <w:szCs w:val="22"/>
        </w:rPr>
        <w:t xml:space="preserve">den </w:t>
      </w:r>
      <w:bookmarkEnd w:id="1"/>
      <w:r w:rsidR="00165D8C">
        <w:rPr>
          <w:sz w:val="22"/>
          <w:szCs w:val="22"/>
        </w:rPr>
        <w:t>20.09.2019</w:t>
      </w:r>
      <w:r w:rsidR="00392939" w:rsidRPr="0067584E">
        <w:rPr>
          <w:sz w:val="22"/>
          <w:szCs w:val="22"/>
        </w:rPr>
        <w:t xml:space="preserve"> </w:t>
      </w:r>
      <w:r w:rsidR="00392939" w:rsidRPr="0067584E">
        <w:rPr>
          <w:sz w:val="22"/>
          <w:szCs w:val="22"/>
        </w:rPr>
        <w:tab/>
      </w:r>
      <w:r w:rsidR="00392939" w:rsidRPr="0067584E">
        <w:rPr>
          <w:sz w:val="22"/>
          <w:szCs w:val="22"/>
        </w:rPr>
        <w:tab/>
        <w:t>Magistrat der Stadt Wetzlar</w:t>
      </w:r>
    </w:p>
    <w:p w14:paraId="7D393D4C" w14:textId="77777777" w:rsidR="00AC6776" w:rsidRPr="0067584E" w:rsidRDefault="00392939">
      <w:pPr>
        <w:tabs>
          <w:tab w:val="left" w:pos="2552"/>
          <w:tab w:val="left" w:pos="4820"/>
          <w:tab w:val="left" w:pos="6663"/>
          <w:tab w:val="left" w:pos="8364"/>
        </w:tabs>
        <w:jc w:val="both"/>
        <w:rPr>
          <w:sz w:val="22"/>
          <w:szCs w:val="22"/>
        </w:rPr>
      </w:pPr>
      <w:r w:rsidRPr="0067584E">
        <w:rPr>
          <w:sz w:val="22"/>
          <w:szCs w:val="22"/>
        </w:rPr>
        <w:tab/>
      </w:r>
      <w:r w:rsidRPr="0067584E">
        <w:rPr>
          <w:sz w:val="22"/>
          <w:szCs w:val="22"/>
        </w:rPr>
        <w:tab/>
      </w:r>
      <w:r w:rsidR="00101B60">
        <w:rPr>
          <w:sz w:val="22"/>
          <w:szCs w:val="22"/>
        </w:rPr>
        <w:t>Kortlüke</w:t>
      </w:r>
      <w:r w:rsidR="007D7567" w:rsidRPr="0067584E">
        <w:rPr>
          <w:sz w:val="22"/>
          <w:szCs w:val="22"/>
        </w:rPr>
        <w:t xml:space="preserve">, </w:t>
      </w:r>
      <w:r w:rsidR="00101B60">
        <w:rPr>
          <w:sz w:val="22"/>
          <w:szCs w:val="22"/>
        </w:rPr>
        <w:t>Stadtrat</w:t>
      </w:r>
    </w:p>
    <w:sectPr w:rsidR="00AC6776" w:rsidRPr="0067584E">
      <w:headerReference w:type="default" r:id="rId9"/>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B5C3" w14:textId="77777777" w:rsidR="00201C20" w:rsidRDefault="00201C20">
      <w:r>
        <w:separator/>
      </w:r>
    </w:p>
  </w:endnote>
  <w:endnote w:type="continuationSeparator" w:id="0">
    <w:p w14:paraId="66E116BE" w14:textId="77777777" w:rsidR="00201C20" w:rsidRDefault="0020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F194" w14:textId="77777777" w:rsidR="00201C20" w:rsidRDefault="00201C20">
      <w:r>
        <w:separator/>
      </w:r>
    </w:p>
  </w:footnote>
  <w:footnote w:type="continuationSeparator" w:id="0">
    <w:p w14:paraId="6442D315" w14:textId="77777777" w:rsidR="00201C20" w:rsidRDefault="0020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EC6B" w14:textId="77777777" w:rsidR="00F44598" w:rsidRDefault="00F44598">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5375A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5C60"/>
    <w:multiLevelType w:val="singleLevel"/>
    <w:tmpl w:val="309412EE"/>
    <w:lvl w:ilvl="0">
      <w:start w:val="1"/>
      <w:numFmt w:val="bullet"/>
      <w:lvlText w:val=""/>
      <w:lvlJc w:val="left"/>
      <w:pPr>
        <w:tabs>
          <w:tab w:val="num" w:pos="360"/>
        </w:tabs>
        <w:ind w:left="360" w:hanging="360"/>
      </w:pPr>
      <w:rPr>
        <w:rFonts w:ascii="Symbol" w:hAnsi="Symbol" w:hint="default"/>
      </w:rPr>
    </w:lvl>
  </w:abstractNum>
  <w:abstractNum w:abstractNumId="1">
    <w:nsid w:val="62175B6F"/>
    <w:multiLevelType w:val="singleLevel"/>
    <w:tmpl w:val="309412E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B4"/>
    <w:rsid w:val="00002311"/>
    <w:rsid w:val="00014617"/>
    <w:rsid w:val="00032D4F"/>
    <w:rsid w:val="00041BAC"/>
    <w:rsid w:val="00044F8F"/>
    <w:rsid w:val="00087421"/>
    <w:rsid w:val="000A17F6"/>
    <w:rsid w:val="000C1E1A"/>
    <w:rsid w:val="000C3EA8"/>
    <w:rsid w:val="000C7AA8"/>
    <w:rsid w:val="000D6923"/>
    <w:rsid w:val="000F0F4C"/>
    <w:rsid w:val="00101B60"/>
    <w:rsid w:val="00110F26"/>
    <w:rsid w:val="001229E1"/>
    <w:rsid w:val="00132FA6"/>
    <w:rsid w:val="00133DE1"/>
    <w:rsid w:val="00140C92"/>
    <w:rsid w:val="00151E75"/>
    <w:rsid w:val="0015398D"/>
    <w:rsid w:val="0016196C"/>
    <w:rsid w:val="00163583"/>
    <w:rsid w:val="00165D8C"/>
    <w:rsid w:val="00181666"/>
    <w:rsid w:val="00193BAC"/>
    <w:rsid w:val="001A139C"/>
    <w:rsid w:val="001A174C"/>
    <w:rsid w:val="001A2A76"/>
    <w:rsid w:val="001B68E9"/>
    <w:rsid w:val="001C68CC"/>
    <w:rsid w:val="001D1969"/>
    <w:rsid w:val="001D2B53"/>
    <w:rsid w:val="001D3CA8"/>
    <w:rsid w:val="001F49D9"/>
    <w:rsid w:val="001F5B10"/>
    <w:rsid w:val="001F5E32"/>
    <w:rsid w:val="00201C20"/>
    <w:rsid w:val="00211044"/>
    <w:rsid w:val="00231EF6"/>
    <w:rsid w:val="00232A9E"/>
    <w:rsid w:val="00237279"/>
    <w:rsid w:val="00255ADE"/>
    <w:rsid w:val="00282A4C"/>
    <w:rsid w:val="00290FE6"/>
    <w:rsid w:val="002A27E5"/>
    <w:rsid w:val="002A36DF"/>
    <w:rsid w:val="002A6ECC"/>
    <w:rsid w:val="002C4805"/>
    <w:rsid w:val="002C6C78"/>
    <w:rsid w:val="002E08AD"/>
    <w:rsid w:val="002E1577"/>
    <w:rsid w:val="002F35F3"/>
    <w:rsid w:val="002F4B03"/>
    <w:rsid w:val="002F7571"/>
    <w:rsid w:val="003029BD"/>
    <w:rsid w:val="00307A3B"/>
    <w:rsid w:val="00314FD3"/>
    <w:rsid w:val="00330599"/>
    <w:rsid w:val="00352672"/>
    <w:rsid w:val="00373DDB"/>
    <w:rsid w:val="00380740"/>
    <w:rsid w:val="003835AF"/>
    <w:rsid w:val="00387C59"/>
    <w:rsid w:val="00392939"/>
    <w:rsid w:val="003948CD"/>
    <w:rsid w:val="00395301"/>
    <w:rsid w:val="003A50EB"/>
    <w:rsid w:val="003B27BF"/>
    <w:rsid w:val="003D6D45"/>
    <w:rsid w:val="003D75C0"/>
    <w:rsid w:val="003E1396"/>
    <w:rsid w:val="003E7BCB"/>
    <w:rsid w:val="003F7003"/>
    <w:rsid w:val="0041443C"/>
    <w:rsid w:val="00430F01"/>
    <w:rsid w:val="0043425C"/>
    <w:rsid w:val="004578B7"/>
    <w:rsid w:val="004578C7"/>
    <w:rsid w:val="00465DF7"/>
    <w:rsid w:val="0047670C"/>
    <w:rsid w:val="004823A2"/>
    <w:rsid w:val="004830EB"/>
    <w:rsid w:val="00486BC0"/>
    <w:rsid w:val="004A096C"/>
    <w:rsid w:val="004A1C44"/>
    <w:rsid w:val="004A5C62"/>
    <w:rsid w:val="004D15B5"/>
    <w:rsid w:val="004E1797"/>
    <w:rsid w:val="004F3E11"/>
    <w:rsid w:val="00501725"/>
    <w:rsid w:val="00502805"/>
    <w:rsid w:val="00507FA0"/>
    <w:rsid w:val="00517996"/>
    <w:rsid w:val="00526D38"/>
    <w:rsid w:val="00536925"/>
    <w:rsid w:val="005375A4"/>
    <w:rsid w:val="00545693"/>
    <w:rsid w:val="005650A1"/>
    <w:rsid w:val="00585522"/>
    <w:rsid w:val="00591876"/>
    <w:rsid w:val="005C1A9A"/>
    <w:rsid w:val="005D0239"/>
    <w:rsid w:val="005D3EA0"/>
    <w:rsid w:val="005E1810"/>
    <w:rsid w:val="005F281B"/>
    <w:rsid w:val="005F5199"/>
    <w:rsid w:val="00600FFD"/>
    <w:rsid w:val="00607DDA"/>
    <w:rsid w:val="00621796"/>
    <w:rsid w:val="00635CCC"/>
    <w:rsid w:val="0067584E"/>
    <w:rsid w:val="006A1AF9"/>
    <w:rsid w:val="006A28CF"/>
    <w:rsid w:val="006A333D"/>
    <w:rsid w:val="006B19D1"/>
    <w:rsid w:val="006B27C0"/>
    <w:rsid w:val="006C0ED9"/>
    <w:rsid w:val="006F0970"/>
    <w:rsid w:val="006F09F0"/>
    <w:rsid w:val="006F1811"/>
    <w:rsid w:val="006F6EC4"/>
    <w:rsid w:val="00715FD3"/>
    <w:rsid w:val="00751C85"/>
    <w:rsid w:val="0076441A"/>
    <w:rsid w:val="007716FB"/>
    <w:rsid w:val="00774316"/>
    <w:rsid w:val="00781E47"/>
    <w:rsid w:val="007948C9"/>
    <w:rsid w:val="007A2339"/>
    <w:rsid w:val="007B7417"/>
    <w:rsid w:val="007D14C1"/>
    <w:rsid w:val="007D1FD1"/>
    <w:rsid w:val="007D35B7"/>
    <w:rsid w:val="007D7567"/>
    <w:rsid w:val="007E0712"/>
    <w:rsid w:val="007E4C62"/>
    <w:rsid w:val="007E796A"/>
    <w:rsid w:val="007F7E2E"/>
    <w:rsid w:val="00802BAA"/>
    <w:rsid w:val="00806FD0"/>
    <w:rsid w:val="00853C05"/>
    <w:rsid w:val="00855318"/>
    <w:rsid w:val="008557E2"/>
    <w:rsid w:val="00860AAE"/>
    <w:rsid w:val="008616DA"/>
    <w:rsid w:val="008623BF"/>
    <w:rsid w:val="0087596E"/>
    <w:rsid w:val="00876A90"/>
    <w:rsid w:val="008778AB"/>
    <w:rsid w:val="00885799"/>
    <w:rsid w:val="00895FC0"/>
    <w:rsid w:val="008A347D"/>
    <w:rsid w:val="008A5F1B"/>
    <w:rsid w:val="008A783D"/>
    <w:rsid w:val="008B4729"/>
    <w:rsid w:val="008B7639"/>
    <w:rsid w:val="008C7DB4"/>
    <w:rsid w:val="008F69C4"/>
    <w:rsid w:val="009000A8"/>
    <w:rsid w:val="00930E4D"/>
    <w:rsid w:val="00932A3D"/>
    <w:rsid w:val="0093540B"/>
    <w:rsid w:val="009426D5"/>
    <w:rsid w:val="00945557"/>
    <w:rsid w:val="009510EC"/>
    <w:rsid w:val="00975AA6"/>
    <w:rsid w:val="00975C55"/>
    <w:rsid w:val="009874BC"/>
    <w:rsid w:val="00993F9C"/>
    <w:rsid w:val="00996FE8"/>
    <w:rsid w:val="009A3D63"/>
    <w:rsid w:val="009A4866"/>
    <w:rsid w:val="009C1BEB"/>
    <w:rsid w:val="009D37BD"/>
    <w:rsid w:val="009D665B"/>
    <w:rsid w:val="009E736F"/>
    <w:rsid w:val="009F10CB"/>
    <w:rsid w:val="00A03E8B"/>
    <w:rsid w:val="00A10C6A"/>
    <w:rsid w:val="00A359B2"/>
    <w:rsid w:val="00A44DF7"/>
    <w:rsid w:val="00A5422B"/>
    <w:rsid w:val="00A702F8"/>
    <w:rsid w:val="00A825C0"/>
    <w:rsid w:val="00AB1424"/>
    <w:rsid w:val="00AC605B"/>
    <w:rsid w:val="00AC6776"/>
    <w:rsid w:val="00AD1BC5"/>
    <w:rsid w:val="00AF1BF5"/>
    <w:rsid w:val="00B23C67"/>
    <w:rsid w:val="00B31023"/>
    <w:rsid w:val="00B418F5"/>
    <w:rsid w:val="00B87613"/>
    <w:rsid w:val="00B964CE"/>
    <w:rsid w:val="00BA76E1"/>
    <w:rsid w:val="00BC1308"/>
    <w:rsid w:val="00BD3A46"/>
    <w:rsid w:val="00C07136"/>
    <w:rsid w:val="00C12152"/>
    <w:rsid w:val="00C15DE6"/>
    <w:rsid w:val="00C209A1"/>
    <w:rsid w:val="00C226DF"/>
    <w:rsid w:val="00C22CCB"/>
    <w:rsid w:val="00C26EF1"/>
    <w:rsid w:val="00C3216E"/>
    <w:rsid w:val="00C35967"/>
    <w:rsid w:val="00C65684"/>
    <w:rsid w:val="00CA2185"/>
    <w:rsid w:val="00CC5856"/>
    <w:rsid w:val="00CD30ED"/>
    <w:rsid w:val="00CF192A"/>
    <w:rsid w:val="00CF4179"/>
    <w:rsid w:val="00D033D9"/>
    <w:rsid w:val="00D13C25"/>
    <w:rsid w:val="00D23835"/>
    <w:rsid w:val="00D24B60"/>
    <w:rsid w:val="00D30CE4"/>
    <w:rsid w:val="00D43339"/>
    <w:rsid w:val="00D61F28"/>
    <w:rsid w:val="00D733C4"/>
    <w:rsid w:val="00D8587C"/>
    <w:rsid w:val="00D86169"/>
    <w:rsid w:val="00D86F29"/>
    <w:rsid w:val="00DA04E0"/>
    <w:rsid w:val="00DB0C03"/>
    <w:rsid w:val="00DB1B2F"/>
    <w:rsid w:val="00DB4335"/>
    <w:rsid w:val="00DC6121"/>
    <w:rsid w:val="00DE304A"/>
    <w:rsid w:val="00DE5709"/>
    <w:rsid w:val="00DE620C"/>
    <w:rsid w:val="00DE6B5F"/>
    <w:rsid w:val="00E03FA7"/>
    <w:rsid w:val="00E052D0"/>
    <w:rsid w:val="00E149C5"/>
    <w:rsid w:val="00E26597"/>
    <w:rsid w:val="00E26E40"/>
    <w:rsid w:val="00E34C12"/>
    <w:rsid w:val="00E36A93"/>
    <w:rsid w:val="00E37091"/>
    <w:rsid w:val="00E50C34"/>
    <w:rsid w:val="00E60862"/>
    <w:rsid w:val="00E6608F"/>
    <w:rsid w:val="00E70731"/>
    <w:rsid w:val="00E76A14"/>
    <w:rsid w:val="00E82ADB"/>
    <w:rsid w:val="00EA2C92"/>
    <w:rsid w:val="00EB6B0D"/>
    <w:rsid w:val="00EB71E0"/>
    <w:rsid w:val="00EC0C0F"/>
    <w:rsid w:val="00EC21ED"/>
    <w:rsid w:val="00EC5568"/>
    <w:rsid w:val="00EF466D"/>
    <w:rsid w:val="00EF5341"/>
    <w:rsid w:val="00F020A8"/>
    <w:rsid w:val="00F04390"/>
    <w:rsid w:val="00F16805"/>
    <w:rsid w:val="00F204BF"/>
    <w:rsid w:val="00F44598"/>
    <w:rsid w:val="00F44C34"/>
    <w:rsid w:val="00F5093B"/>
    <w:rsid w:val="00F70C8E"/>
    <w:rsid w:val="00F73134"/>
    <w:rsid w:val="00F90DB7"/>
    <w:rsid w:val="00FC4917"/>
    <w:rsid w:val="00FC51E6"/>
    <w:rsid w:val="00FD515D"/>
    <w:rsid w:val="00FE1948"/>
    <w:rsid w:val="00FE65CE"/>
    <w:rsid w:val="00FE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C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5650A1"/>
    <w:rPr>
      <w:rFonts w:ascii="Tahoma" w:hAnsi="Tahoma" w:cs="Tahoma"/>
      <w:sz w:val="16"/>
      <w:szCs w:val="16"/>
    </w:rPr>
  </w:style>
  <w:style w:type="paragraph" w:styleId="NurText">
    <w:name w:val="Plain Text"/>
    <w:basedOn w:val="Standard"/>
    <w:rsid w:val="00885799"/>
    <w:rPr>
      <w:rFonts w:ascii="Courier New" w:hAnsi="Courier New" w:cs="Courier New"/>
    </w:rPr>
  </w:style>
  <w:style w:type="character" w:styleId="Kommentarzeichen">
    <w:name w:val="annotation reference"/>
    <w:basedOn w:val="Absatz-Standardschriftart"/>
    <w:semiHidden/>
    <w:unhideWhenUsed/>
    <w:rsid w:val="008616DA"/>
    <w:rPr>
      <w:sz w:val="16"/>
      <w:szCs w:val="16"/>
    </w:rPr>
  </w:style>
  <w:style w:type="paragraph" w:styleId="Kommentartext">
    <w:name w:val="annotation text"/>
    <w:basedOn w:val="Standard"/>
    <w:link w:val="KommentartextZchn"/>
    <w:semiHidden/>
    <w:unhideWhenUsed/>
    <w:rsid w:val="008616DA"/>
  </w:style>
  <w:style w:type="character" w:customStyle="1" w:styleId="KommentartextZchn">
    <w:name w:val="Kommentartext Zchn"/>
    <w:basedOn w:val="Absatz-Standardschriftart"/>
    <w:link w:val="Kommentartext"/>
    <w:semiHidden/>
    <w:rsid w:val="008616DA"/>
    <w:rPr>
      <w:rFonts w:ascii="Arial" w:hAnsi="Arial"/>
    </w:rPr>
  </w:style>
  <w:style w:type="paragraph" w:styleId="Kommentarthema">
    <w:name w:val="annotation subject"/>
    <w:basedOn w:val="Kommentartext"/>
    <w:next w:val="Kommentartext"/>
    <w:link w:val="KommentarthemaZchn"/>
    <w:semiHidden/>
    <w:unhideWhenUsed/>
    <w:rsid w:val="008616DA"/>
    <w:rPr>
      <w:b/>
      <w:bCs/>
    </w:rPr>
  </w:style>
  <w:style w:type="character" w:customStyle="1" w:styleId="KommentarthemaZchn">
    <w:name w:val="Kommentarthema Zchn"/>
    <w:basedOn w:val="KommentartextZchn"/>
    <w:link w:val="Kommentarthema"/>
    <w:semiHidden/>
    <w:rsid w:val="008616D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5650A1"/>
    <w:rPr>
      <w:rFonts w:ascii="Tahoma" w:hAnsi="Tahoma" w:cs="Tahoma"/>
      <w:sz w:val="16"/>
      <w:szCs w:val="16"/>
    </w:rPr>
  </w:style>
  <w:style w:type="paragraph" w:styleId="NurText">
    <w:name w:val="Plain Text"/>
    <w:basedOn w:val="Standard"/>
    <w:rsid w:val="00885799"/>
    <w:rPr>
      <w:rFonts w:ascii="Courier New" w:hAnsi="Courier New" w:cs="Courier New"/>
    </w:rPr>
  </w:style>
  <w:style w:type="character" w:styleId="Kommentarzeichen">
    <w:name w:val="annotation reference"/>
    <w:basedOn w:val="Absatz-Standardschriftart"/>
    <w:semiHidden/>
    <w:unhideWhenUsed/>
    <w:rsid w:val="008616DA"/>
    <w:rPr>
      <w:sz w:val="16"/>
      <w:szCs w:val="16"/>
    </w:rPr>
  </w:style>
  <w:style w:type="paragraph" w:styleId="Kommentartext">
    <w:name w:val="annotation text"/>
    <w:basedOn w:val="Standard"/>
    <w:link w:val="KommentartextZchn"/>
    <w:semiHidden/>
    <w:unhideWhenUsed/>
    <w:rsid w:val="008616DA"/>
  </w:style>
  <w:style w:type="character" w:customStyle="1" w:styleId="KommentartextZchn">
    <w:name w:val="Kommentartext Zchn"/>
    <w:basedOn w:val="Absatz-Standardschriftart"/>
    <w:link w:val="Kommentartext"/>
    <w:semiHidden/>
    <w:rsid w:val="008616DA"/>
    <w:rPr>
      <w:rFonts w:ascii="Arial" w:hAnsi="Arial"/>
    </w:rPr>
  </w:style>
  <w:style w:type="paragraph" w:styleId="Kommentarthema">
    <w:name w:val="annotation subject"/>
    <w:basedOn w:val="Kommentartext"/>
    <w:next w:val="Kommentartext"/>
    <w:link w:val="KommentarthemaZchn"/>
    <w:semiHidden/>
    <w:unhideWhenUsed/>
    <w:rsid w:val="008616DA"/>
    <w:rPr>
      <w:b/>
      <w:bCs/>
    </w:rPr>
  </w:style>
  <w:style w:type="character" w:customStyle="1" w:styleId="KommentarthemaZchn">
    <w:name w:val="Kommentarthema Zchn"/>
    <w:basedOn w:val="KommentartextZchn"/>
    <w:link w:val="Kommentarthema"/>
    <w:semiHidden/>
    <w:rsid w:val="008616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0459">
      <w:bodyDiv w:val="1"/>
      <w:marLeft w:val="0"/>
      <w:marRight w:val="0"/>
      <w:marTop w:val="0"/>
      <w:marBottom w:val="0"/>
      <w:divBdr>
        <w:top w:val="none" w:sz="0" w:space="0" w:color="auto"/>
        <w:left w:val="none" w:sz="0" w:space="0" w:color="auto"/>
        <w:bottom w:val="none" w:sz="0" w:space="0" w:color="auto"/>
        <w:right w:val="none" w:sz="0" w:space="0" w:color="auto"/>
      </w:divBdr>
    </w:div>
    <w:div w:id="1648168005">
      <w:bodyDiv w:val="1"/>
      <w:marLeft w:val="60"/>
      <w:marRight w:val="60"/>
      <w:marTop w:val="60"/>
      <w:marBottom w:val="60"/>
      <w:divBdr>
        <w:top w:val="none" w:sz="0" w:space="0" w:color="auto"/>
        <w:left w:val="none" w:sz="0" w:space="0" w:color="auto"/>
        <w:bottom w:val="none" w:sz="0" w:space="0" w:color="auto"/>
        <w:right w:val="none" w:sz="0" w:space="0" w:color="auto"/>
      </w:divBdr>
      <w:divsChild>
        <w:div w:id="1671979928">
          <w:marLeft w:val="0"/>
          <w:marRight w:val="0"/>
          <w:marTop w:val="0"/>
          <w:marBottom w:val="0"/>
          <w:divBdr>
            <w:top w:val="none" w:sz="0" w:space="0" w:color="auto"/>
            <w:left w:val="none" w:sz="0" w:space="0" w:color="auto"/>
            <w:bottom w:val="none" w:sz="0" w:space="0" w:color="auto"/>
            <w:right w:val="none" w:sz="0" w:space="0" w:color="auto"/>
          </w:divBdr>
          <w:divsChild>
            <w:div w:id="661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Böttger</dc:creator>
  <cp:lastModifiedBy>Ohlwein, Kirsten</cp:lastModifiedBy>
  <cp:revision>2</cp:revision>
  <cp:lastPrinted>2019-09-17T10:08:00Z</cp:lastPrinted>
  <dcterms:created xsi:type="dcterms:W3CDTF">2019-09-17T13:12:00Z</dcterms:created>
  <dcterms:modified xsi:type="dcterms:W3CDTF">2019-09-17T13:12:00Z</dcterms:modified>
</cp:coreProperties>
</file>